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3a959df0896ca0b533f9062356bb494054dfbc4"/>
      <w:r>
        <w:t xml:space="preserve">The Head Lice School Response Framework™: Policy Template</w:t>
      </w:r>
      <w:bookmarkEnd w:id="20"/>
    </w:p>
    <w:p>
      <w:pPr>
        <w:pStyle w:val="Heading2"/>
      </w:pPr>
      <w:bookmarkStart w:id="21" w:name="schoolchildcare-name"/>
      <w:r>
        <w:t xml:space="preserve">[School/Childcare Name]</w:t>
      </w:r>
      <w:bookmarkEnd w:id="21"/>
    </w:p>
    <w:p>
      <w:pPr>
        <w:pStyle w:val="FirstParagraph"/>
      </w:pPr>
      <w:r>
        <w:rPr>
          <w:b/>
        </w:rPr>
        <w:t xml:space="preserve">Issued:</w:t>
      </w:r>
      <w:r>
        <w:t xml:space="preserve"> </w:t>
      </w:r>
      <w:r>
        <w:t xml:space="preserve">February 2026 |</w:t>
      </w:r>
      <w:r>
        <w:t xml:space="preserve"> </w:t>
      </w:r>
      <w:r>
        <w:rPr>
          <w:b/>
        </w:rPr>
        <w:t xml:space="preserve">Version 1.0</w:t>
      </w:r>
    </w:p>
    <w:p>
      <w:r>
        <w:pict>
          <v:rect style="width:0;height:1.5pt" o:hralign="center" o:hrstd="t" o:hr="t"/>
        </w:pict>
      </w:r>
    </w:p>
    <w:p>
      <w:pPr>
        <w:pStyle w:val="Heading2"/>
      </w:pPr>
      <w:bookmarkStart w:id="22" w:name="framework-overview"/>
      <w:r>
        <w:t xml:space="preserve">1. Framework Overview</w:t>
      </w:r>
      <w:bookmarkEnd w:id="22"/>
    </w:p>
    <w:p>
      <w:pPr>
        <w:pStyle w:val="FirstParagraph"/>
      </w:pPr>
      <w:r>
        <w:t xml:space="preserve">This document outlines the adoption of</w:t>
      </w:r>
      <w:r>
        <w:t xml:space="preserve"> </w:t>
      </w:r>
      <w:r>
        <w:rPr>
          <w:b/>
        </w:rPr>
        <w:t xml:space="preserve">The Head Lice School Response Framework™</w:t>
      </w:r>
      <w:r>
        <w:t xml:space="preserve">, a structured, evidence-led approach designed for operational consistency across staff. By implementing this standardized communication cadence, the school reduces escalation risk and prevents mixed messaging. This framework supports governance and safeguarding principles by maintaining a calm, professional, and non-alarmist response to head lice, ensuring the dignity of all students is preserved.</w:t>
      </w:r>
    </w:p>
    <w:p>
      <w:pPr>
        <w:pStyle w:val="Heading2"/>
      </w:pPr>
      <w:bookmarkStart w:id="23" w:name="core-principles"/>
      <w:r>
        <w:t xml:space="preserve">2. Core Principles</w:t>
      </w:r>
      <w:bookmarkEnd w:id="23"/>
    </w:p>
    <w:p>
      <w:pPr>
        <w:numPr>
          <w:ilvl w:val="0"/>
          <w:numId w:val="1001"/>
        </w:numPr>
        <w:pStyle w:val="Compact"/>
      </w:pPr>
      <w:r>
        <w:rPr>
          <w:b/>
        </w:rPr>
        <w:t xml:space="preserve">Non-Diagnostic Position:</w:t>
      </w:r>
      <w:r>
        <w:t xml:space="preserve"> </w:t>
      </w:r>
      <w:r>
        <w:t xml:space="preserve">School staff maintain a non-diagnostic position. Head Lice Checker provides practical triage support rather than medical claims or diagnoses.</w:t>
      </w:r>
    </w:p>
    <w:p>
      <w:pPr>
        <w:numPr>
          <w:ilvl w:val="0"/>
          <w:numId w:val="1001"/>
        </w:numPr>
        <w:pStyle w:val="Compact"/>
      </w:pPr>
      <w:r>
        <w:rPr>
          <w:b/>
        </w:rPr>
        <w:t xml:space="preserve">Institutional Tone:</w:t>
      </w:r>
      <w:r>
        <w:t xml:space="preserve"> </w:t>
      </w:r>
      <w:r>
        <w:t xml:space="preserve">All communications must remain calm, neutral, and professional.</w:t>
      </w:r>
    </w:p>
    <w:p>
      <w:pPr>
        <w:numPr>
          <w:ilvl w:val="0"/>
          <w:numId w:val="1001"/>
        </w:numPr>
        <w:pStyle w:val="Compact"/>
      </w:pPr>
      <w:r>
        <w:rPr>
          <w:b/>
        </w:rPr>
        <w:t xml:space="preserve">Safeguarding &amp; Confidentiality:</w:t>
      </w:r>
      <w:r>
        <w:t xml:space="preserve"> </w:t>
      </w:r>
      <w:r>
        <w:t xml:space="preserve">Student privacy is paramount. Information is handled in accordance with safeguarding principles, and classroom-specific identifiers are not used in general notices.</w:t>
      </w:r>
    </w:p>
    <w:p>
      <w:pPr>
        <w:numPr>
          <w:ilvl w:val="0"/>
          <w:numId w:val="1001"/>
        </w:numPr>
        <w:pStyle w:val="Compact"/>
      </w:pPr>
      <w:r>
        <w:rPr>
          <w:b/>
        </w:rPr>
        <w:t xml:space="preserve">Evidence-Led Triage:</w:t>
      </w:r>
      <w:r>
        <w:t xml:space="preserve"> </w:t>
      </w:r>
      <w:r>
        <w:t xml:space="preserve">The framework prioritizes visual confirmation (live lice or attached nits) over general symptoms like itching.</w:t>
      </w:r>
    </w:p>
    <w:p>
      <w:pPr>
        <w:pStyle w:val="Heading2"/>
      </w:pPr>
      <w:bookmarkStart w:id="24" w:name="the-standardised-communication-cadence"/>
      <w:r>
        <w:t xml:space="preserve">3. The Standardised Communication Cadence</w:t>
      </w:r>
      <w:bookmarkEnd w:id="24"/>
    </w:p>
    <w:p>
      <w:pPr>
        <w:pStyle w:val="FirstParagraph"/>
      </w:pPr>
      <w:r>
        <w:t xml:space="preserve">The framework follows a repeatable three-step process to ensure clarity for families and staff:</w:t>
      </w:r>
    </w:p>
    <w:p>
      <w:pPr>
        <w:pStyle w:val="Heading3"/>
      </w:pPr>
      <w:bookmarkStart w:id="25" w:name="step-1-framework-exposure-notice"/>
      <w:r>
        <w:t xml:space="preserve">Step 1: Framework Exposure Notice</w:t>
      </w:r>
      <w:bookmarkEnd w:id="25"/>
    </w:p>
    <w:p>
      <w:pPr>
        <w:pStyle w:val="FirstParagraph"/>
      </w:pPr>
      <w:r>
        <w:t xml:space="preserve">When a likely exposure or case is identified, the school issues a</w:t>
      </w:r>
      <w:r>
        <w:t xml:space="preserve"> </w:t>
      </w:r>
      <w:r>
        <w:rPr>
          <w:b/>
        </w:rPr>
        <w:t xml:space="preserve">Same-Day Exposure Notice</w:t>
      </w:r>
      <w:r>
        <w:t xml:space="preserve"> </w:t>
      </w:r>
      <w:r>
        <w:t xml:space="preserve">to the relevant group. This notice:</w:t>
      </w:r>
      <w:r>
        <w:t xml:space="preserve"> </w:t>
      </w:r>
      <w:r>
        <w:t xml:space="preserve">- Informs parents of the exposure using neutral language.</w:t>
      </w:r>
      <w:r>
        <w:t xml:space="preserve"> </w:t>
      </w:r>
      <w:r>
        <w:t xml:space="preserve">- Provides clear instructions on how to perform a home check.</w:t>
      </w:r>
      <w:r>
        <w:t xml:space="preserve"> </w:t>
      </w:r>
      <w:r>
        <w:t xml:space="preserve">- Notes that Head Lice Checker provides an optional AI-powered triage tool at</w:t>
      </w:r>
      <w:r>
        <w:t xml:space="preserve"> </w:t>
      </w:r>
      <w:hyperlink r:id="rId26">
        <w:r>
          <w:rPr>
            <w:rStyle w:val="Hyperlink"/>
          </w:rPr>
          <w:t xml:space="preserve">headlicechecker.com</w:t>
        </w:r>
      </w:hyperlink>
      <w:r>
        <w:t xml:space="preserve"> </w:t>
      </w:r>
      <w:r>
        <w:t xml:space="preserve">for families seeking fast, non-diagnostic support.</w:t>
      </w:r>
    </w:p>
    <w:p>
      <w:pPr>
        <w:pStyle w:val="Heading3"/>
      </w:pPr>
      <w:bookmarkStart w:id="27" w:name="step-2-framework-follow-up-reminder"/>
      <w:r>
        <w:t xml:space="preserve">Step 2: Framework Follow-Up Reminder</w:t>
      </w:r>
      <w:bookmarkEnd w:id="27"/>
    </w:p>
    <w:p>
      <w:pPr>
        <w:pStyle w:val="FirstParagraph"/>
      </w:pPr>
      <w:r>
        <w:t xml:space="preserve">Seven days after the initial notice, a</w:t>
      </w:r>
      <w:r>
        <w:t xml:space="preserve"> </w:t>
      </w:r>
      <w:r>
        <w:rPr>
          <w:b/>
        </w:rPr>
        <w:t xml:space="preserve">Follow-Up Reminder</w:t>
      </w:r>
      <w:r>
        <w:t xml:space="preserve"> </w:t>
      </w:r>
      <w:r>
        <w:t xml:space="preserve">is issued. This ensures families continue monitoring through the full hatching cycle (7-10 days) and prevents the need for further escalation.</w:t>
      </w:r>
    </w:p>
    <w:p>
      <w:pPr>
        <w:pStyle w:val="Heading3"/>
      </w:pPr>
      <w:bookmarkStart w:id="28" w:name="step-3-clinical-escalation-referral"/>
      <w:r>
        <w:t xml:space="preserve">Step 3: Clinical Escalation Referral</w:t>
      </w:r>
      <w:bookmarkEnd w:id="28"/>
    </w:p>
    <w:p>
      <w:pPr>
        <w:pStyle w:val="FirstParagraph"/>
      </w:pPr>
      <w:r>
        <w:t xml:space="preserve">If indicators persist after treatment, the school provides a</w:t>
      </w:r>
      <w:r>
        <w:t xml:space="preserve"> </w:t>
      </w:r>
      <w:r>
        <w:rPr>
          <w:b/>
        </w:rPr>
        <w:t xml:space="preserve">Clinical Escalation Referral</w:t>
      </w:r>
      <w:r>
        <w:t xml:space="preserve">. This involves:</w:t>
      </w:r>
      <w:r>
        <w:t xml:space="preserve"> </w:t>
      </w:r>
      <w:r>
        <w:t xml:space="preserve">- Recommending professional confirmation.</w:t>
      </w:r>
      <w:r>
        <w:t xml:space="preserve"> </w:t>
      </w:r>
      <w:r>
        <w:t xml:space="preserve">- Providing access to the Head Lice Checker Clinic Finder.</w:t>
      </w:r>
      <w:r>
        <w:t xml:space="preserve"> </w:t>
      </w:r>
      <w:r>
        <w:t xml:space="preserve">- Encouraging clinical consultation to resolve persistent cases.</w:t>
      </w:r>
    </w:p>
    <w:p>
      <w:pPr>
        <w:pStyle w:val="Heading2"/>
      </w:pPr>
      <w:bookmarkStart w:id="29" w:name="attendance-and-governance"/>
      <w:r>
        <w:t xml:space="preserve">4. Attendance and Governance</w:t>
      </w:r>
      <w:bookmarkEnd w:id="29"/>
    </w:p>
    <w:p>
      <w:pPr>
        <w:numPr>
          <w:ilvl w:val="0"/>
          <w:numId w:val="1002"/>
        </w:numPr>
        <w:pStyle w:val="Compact"/>
      </w:pPr>
      <w:r>
        <w:rPr>
          <w:b/>
        </w:rPr>
        <w:t xml:space="preserve">Non-Exclusion Policy:</w:t>
      </w:r>
      <w:r>
        <w:t xml:space="preserve"> </w:t>
      </w:r>
      <w:r>
        <w:t xml:space="preserve">In alignment with modern public health guidance, students are not excluded from school due to head lice.</w:t>
      </w:r>
    </w:p>
    <w:p>
      <w:pPr>
        <w:numPr>
          <w:ilvl w:val="0"/>
          <w:numId w:val="1002"/>
        </w:numPr>
        <w:pStyle w:val="Compact"/>
      </w:pPr>
      <w:r>
        <w:rPr>
          <w:b/>
        </w:rPr>
        <w:t xml:space="preserve">Operational Consistency:</w:t>
      </w:r>
      <w:r>
        <w:t xml:space="preserve"> </w:t>
      </w:r>
      <w:r>
        <w:t xml:space="preserve">Staff are expected to follow the framework’s cadence to maintain a calm school environment.</w:t>
      </w:r>
    </w:p>
    <w:p>
      <w:pPr>
        <w:numPr>
          <w:ilvl w:val="0"/>
          <w:numId w:val="1002"/>
        </w:numPr>
        <w:pStyle w:val="Compact"/>
      </w:pPr>
      <w:r>
        <w:rPr>
          <w:b/>
        </w:rPr>
        <w:t xml:space="preserve">Support:</w:t>
      </w:r>
      <w:r>
        <w:t xml:space="preserve"> </w:t>
      </w:r>
      <w:r>
        <w:t xml:space="preserve">The school office provides resources to support families in following the framework’s recommendations.</w:t>
      </w:r>
    </w:p>
    <w:p>
      <w:pPr>
        <w:pStyle w:val="Heading2"/>
      </w:pPr>
      <w:bookmarkStart w:id="30" w:name="governance-compliance"/>
      <w:r>
        <w:t xml:space="preserve">5. Governance &amp; Compliance</w:t>
      </w:r>
      <w:bookmarkEnd w:id="30"/>
    </w:p>
    <w:p>
      <w:pPr>
        <w:pStyle w:val="FirstParagraph"/>
      </w:pPr>
      <w:r>
        <w:t xml:space="preserve">This framework is designed to align with modern public health guidance and supports school safeguarding and data privacy policies. All records are managed via the internal tracker with a focus on data minimization.</w:t>
      </w:r>
    </w:p>
    <w:p>
      <w:r>
        <w:pict>
          <v:rect style="width:0;height:1.5pt" o:hralign="center" o:hrstd="t" o:hr="t"/>
        </w:pict>
      </w:r>
    </w:p>
    <w:p>
      <w:pPr>
        <w:pStyle w:val="FirstParagraph"/>
      </w:pPr>
      <w:r>
        <w:rPr>
          <w:b/>
        </w:rPr>
        <w:t xml:space="preserve">This template may be adapted to align with local authority policy.</w:t>
      </w:r>
    </w:p>
    <w:p>
      <w:pPr>
        <w:pStyle w:val="BodyText"/>
      </w:pPr>
      <w:r>
        <w:rPr>
          <w:b/>
        </w:rPr>
        <w:t xml:space="preserve">Approved by:</w:t>
      </w:r>
      <w:r>
        <w:t xml:space="preserve"> </w:t>
      </w:r>
      <w:r>
        <w:t xml:space="preserve">__________________________</w:t>
      </w:r>
      <w:r>
        <w:br/>
      </w:r>
      <w:r>
        <w:rPr>
          <w:b/>
        </w:rPr>
        <w:t xml:space="preserve">Date:</w:t>
      </w:r>
      <w:r>
        <w:t xml:space="preserve"> </w:t>
      </w:r>
      <w:r>
        <w:t xml:space="preserve">__________________________</w:t>
      </w:r>
    </w:p>
    <w:p>
      <w:pPr>
        <w:pStyle w:val="BodyText"/>
      </w:pPr>
      <w:r>
        <w:rPr>
          <w:b/>
        </w:rPr>
        <w:t xml:space="preserve">Version 1.0 | Issued: February 2026 | HeadLiceChecker.com</w:t>
      </w:r>
      <w:r>
        <w:t xml:space="preserve"> </w:t>
      </w:r>
      <w:r>
        <w:rPr>
          <w:b/>
        </w:rPr>
        <w:t xml:space="preserve">The Head Lice School Response Framework™ – AI-powered triage support for families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headlicechecker.com" TargetMode="External" /></Relationships>
</file>

<file path=word/_rels/footnotes.xml.rels><?xml version="1.0" encoding="UTF-8"?>
<Relationships xmlns="http://schemas.openxmlformats.org/package/2006/relationships"><Relationship Type="http://schemas.openxmlformats.org/officeDocument/2006/relationships/hyperlink" Id="rId26" Target="https://headlicecheck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2026-02-25T12:08:00Z</dcterms:created>
  <dcterms:modified xsi:type="dcterms:W3CDTF">2026-02-25T12:08:00Z</dcterms:modified>
</cp:coreProperties>
</file>

<file path=docProps/custom.xml><?xml version="1.0" encoding="utf-8"?>
<Properties xmlns="http://schemas.openxmlformats.org/officeDocument/2006/custom-properties" xmlns:vt="http://schemas.openxmlformats.org/officeDocument/2006/docPropsVTypes"/>
</file>